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0F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简体" w:hAnsi="Times New Roman" w:eastAsia="方正小标宋简体" w:cs="Times New Roman"/>
          <w:color w:val="auto"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汝州职业技术</w:t>
      </w:r>
      <w:r>
        <w:rPr>
          <w:rFonts w:hint="eastAsia" w:ascii="方正小标宋简体" w:hAnsi="Times New Roman" w:eastAsia="方正小标宋简体" w:cs="Times New Roman"/>
          <w:color w:val="auto"/>
          <w:kern w:val="0"/>
          <w:sz w:val="44"/>
          <w:szCs w:val="44"/>
        </w:rPr>
        <w:t>学院</w:t>
      </w:r>
    </w:p>
    <w:p w14:paraId="1C796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ascii="方正小标宋简体" w:hAnsi="Times New Roman" w:eastAsia="方正小标宋简体" w:cs="Times New Roman"/>
          <w:color w:val="auto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color w:val="auto"/>
          <w:kern w:val="0"/>
          <w:sz w:val="44"/>
          <w:szCs w:val="44"/>
        </w:rPr>
        <w:t>文化阵地建设管理</w:t>
      </w:r>
      <w:r>
        <w:rPr>
          <w:rFonts w:hint="eastAsia" w:ascii="方正小标宋简体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暂行</w:t>
      </w:r>
      <w:r>
        <w:rPr>
          <w:rFonts w:hint="eastAsia" w:ascii="方正小标宋简体" w:hAnsi="Times New Roman" w:eastAsia="方正小标宋简体" w:cs="Times New Roman"/>
          <w:color w:val="auto"/>
          <w:kern w:val="0"/>
          <w:sz w:val="44"/>
          <w:szCs w:val="44"/>
        </w:rPr>
        <w:t>办法</w:t>
      </w:r>
    </w:p>
    <w:bookmarkEnd w:id="0"/>
    <w:p w14:paraId="36A20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</w:p>
    <w:p w14:paraId="1AF21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为进一步规范我校文化阵地的建设与管理，营造文明和谐、健康向上的校园环境，结合实际，特制定本办法。</w:t>
      </w:r>
    </w:p>
    <w:p w14:paraId="6B76C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黑体" w:hAnsi="黑体" w:eastAsia="黑体" w:cs="Times New Roman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一、指导思想</w:t>
      </w:r>
    </w:p>
    <w:p w14:paraId="0811B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以习近平新时代中国特色社会主义思想为指导，以社会主义核心价值观为引领，以建设和谐校园、美丽校园为目标，围绕学校中心工作，按照“导向正确、内容健康、管理规范、立德树人”的原则，进一步加强和改进校园文化阵地的建设与管理，促进校园文化健康发展，为学生成长成才创造良好的育人环境。</w:t>
      </w:r>
    </w:p>
    <w:p w14:paraId="20D00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黑体" w:hAnsi="黑体" w:eastAsia="黑体" w:cs="Times New Roman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二、适用范围</w:t>
      </w:r>
    </w:p>
    <w:p w14:paraId="49215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主要包括以下各类文化阵地：校园网主页、二级网站、新媒体平台，校内出版物，校园电台，电子显示屏，宣传栏，标语横幅，学术活动，张贴物，各类楼堂馆所装修、装饰、</w:t>
      </w: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雕塑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等</w:t>
      </w: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文化设施建设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。</w:t>
      </w:r>
    </w:p>
    <w:p w14:paraId="53BC7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三、建设与管理</w:t>
      </w:r>
    </w:p>
    <w:p w14:paraId="557CC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（一）校园网主页、二级网站、新媒体平台</w:t>
      </w:r>
    </w:p>
    <w:p w14:paraId="14A0A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1.按照《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汝州职业技术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学院网络安全责任制实施办法》等有关规定，要进一步加强校园网主页、二级网站、学校新媒体平台的网站运行和信息维护工作，党委宣传部主要负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eastAsia="zh-CN"/>
        </w:rPr>
        <w:t>责学校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val="en-US" w:eastAsia="zh-CN"/>
        </w:rPr>
        <w:t>官网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eastAsia="zh-CN"/>
        </w:rPr>
        <w:t>首页、学校新媒体平台的版面设计、栏目设置、信息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更新和信息监测等工作；网络管理中心主要负责网站的建设维护、日常运行、信息安全、故障处置等工作；各部门、各学院主要负责本单位网站、新媒体平台的版面设计、栏目设置、信息更新等工作。</w:t>
      </w:r>
    </w:p>
    <w:p w14:paraId="609EC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2.根据“谁主管、谁负责，谁使用、谁负责”的原则，对校园网主页、二级网站、新媒体平台实行分工负责制，其中下设的各栏目、专题上传内容由所属责任部门负责发布、更新和维护。党委宣传部主要负责宏观管理，审核信息内容并协助发布、更新信息和日常维护等。各部门、各单位要严格落实《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汝州职业技术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学院媒体信息发布三审三校制度》规定，严格各类媒体平台信息管理，严把信息内容生产关及信息发布关。</w:t>
      </w:r>
    </w:p>
    <w:p w14:paraId="03452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（二）校内出版物</w:t>
      </w:r>
    </w:p>
    <w:p w14:paraId="5F4B9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校内出版物在出版前，由主办单位审查、批准并提出具体管理意见后，报党委宣传部审核、备案后方能印发。依照“谁主办，谁负责”的原则，主办单位应明确责任人，严把质量关，严格遵守国家《出版管理条例》等相关法律法规。</w:t>
      </w:r>
    </w:p>
    <w:p w14:paraId="01646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（三）校园电台</w:t>
      </w:r>
    </w:p>
    <w:p w14:paraId="779CB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党委宣传部主要负责校园电台的日常运行和管理、指导校园电台的业务工作以及电台设施设备的更新维护。实行统一领导、专人负责、学生参与、接受监管的管理体制。</w:t>
      </w:r>
    </w:p>
    <w:p w14:paraId="40CC2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（四）电子显示屏</w:t>
      </w:r>
    </w:p>
    <w:p w14:paraId="42D74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1.电子显示屏包括文字滚动电子屏和彩色LED显示屏，电子屏硬件设备由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网络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中心负责维护，电子显示屏的使用和管理实行分类管理及使用原则。党委宣传部负责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综合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楼大厅显示屏的直接管理工作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其他室外各类电子显示屏按照“谁主管、谁负责，谁使用、谁负责”的原则，对所管理使用的电子显示屏内容进行把关。</w:t>
      </w:r>
    </w:p>
    <w:p w14:paraId="3FB0F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2.党委宣传部负责统筹、审核室外电子显示屏的信息发布内容，以及重大活动或节假日发布统一内容。</w:t>
      </w:r>
    </w:p>
    <w:p w14:paraId="2850F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（五）宣传栏</w:t>
      </w:r>
    </w:p>
    <w:p w14:paraId="5EEAD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宣传栏分为校级宣传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</w:rPr>
        <w:t>栏和各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val="en-US" w:eastAsia="zh-CN"/>
        </w:rPr>
        <w:t>系部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</w:rPr>
        <w:t>、各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val="en-US" w:eastAsia="zh-CN"/>
        </w:rPr>
        <w:t>专业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</w:rPr>
        <w:t>橱窗两个类别，实行两级管理体制。校级宣传栏由党委宣传部直接管理，重点宣传党的创新理论，从宏观上宣传学校重点工作，及时反映学校的重大新闻，配合学校的重大活动、重要事件等作整体宣传；各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val="en-US" w:eastAsia="zh-CN"/>
        </w:rPr>
        <w:t>系部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</w:rPr>
        <w:t>、各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val="en-US" w:eastAsia="zh-CN"/>
        </w:rPr>
        <w:t>专业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</w:rPr>
        <w:t>橱窗由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  <w:lang w:val="en-US" w:eastAsia="zh-CN"/>
        </w:rPr>
        <w:t>系部负责人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32"/>
        </w:rPr>
        <w:t>根据工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作需要及业务分工，统筹安排相关宣传事宜。全校所有宣传栏内容要求积极向上，设计美观，并及时更换，保持窗（栏）面整洁，不得将任何宣传品覆盖在窗（栏）面表面玻璃上。</w:t>
      </w:r>
    </w:p>
    <w:p w14:paraId="3A35C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（六）标语横幅</w:t>
      </w:r>
    </w:p>
    <w:p w14:paraId="3F7EA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1.标语横幅由主办单位负责内容审核及实施，并注明主办单位。所有标语横幅必须于活动结束当日或次日由主办单位自行清理、拆除。</w:t>
      </w:r>
    </w:p>
    <w:p w14:paraId="7AACD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2.校园内原则上不得悬挂商业性标语横幅。若因工作需要确需悬挂商业性标语横幅，由相关部门审核后报送党委宣传部备案。</w:t>
      </w:r>
    </w:p>
    <w:p w14:paraId="250D9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（七）校园张贴物管理</w:t>
      </w:r>
    </w:p>
    <w:p w14:paraId="622D3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1.校园张贴物主要包括海报、启事、通知等，必须内容健康向上、符合有关法规及学校规章制度，张贴内容由主办单位领导负责审查。</w:t>
      </w:r>
    </w:p>
    <w:p w14:paraId="3AE30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2.张贴物必须在指定的场所及位置张贴、摆放。张贴物必须落款，注明张贴单位（个人）及日期。有效期一过，由张贴单位（个人）立即清除。</w:t>
      </w:r>
    </w:p>
    <w:p w14:paraId="69524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3.凡未按指定场所随意张贴的，后勤处应及时清除；如发现有违规违法行为，由保卫处牵头组织有关职能部门予以查处。</w:t>
      </w:r>
    </w:p>
    <w:p w14:paraId="0186E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（八）学术会议、讲座、论坛等学术活动</w:t>
      </w:r>
    </w:p>
    <w:p w14:paraId="72928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1.按照《关于强化政治责任 加强学术活动管理的实施办法》有关规定，学校各类学术活动实行统一归口管理，根据不同类别严格履行相关事前审批程序。按照“谁主办、谁负责；谁审批、谁监督”的原则，实行事前申报、审批、备案制度，切实做到“一会一报”和“一事一报”。</w:t>
      </w:r>
    </w:p>
    <w:p w14:paraId="5E872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2.学校及各单位邀请国内外专家学者举办学术会议、讲座、论坛等学术活动，必须对被邀请人的身份、报告内容等方面负学术、政治和法律责任。全国性的报告会、研讨会、论坛、讲座等学术活动，需经学校党委研究同意、提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3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个月上报；全省性的报告会、研讨会、论坛、讲座等活动，需提前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1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个月上报；举办校内讲座、报告等学术活动须提前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1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个星期上报相关部门备案审批。涉外学术会议、讲座、论坛等学术活动经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教务处（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科研处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批准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报上级部门审批、交党委宣传部审批备案后方可举办；非涉外大型学术会议、论坛等学术活动由党委宣传部报教育厅思政处备案，取得批复后方可举办；其它学术会议、讲座、报告、论坛等校内专业学术活动经科研处批准后报党委宣传部备案，其中哲学社会科学类学术活动还须报党委宣传部审批。</w:t>
      </w:r>
    </w:p>
    <w:p w14:paraId="4136F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楷体_GB2312" w:hAnsi="Times New Roman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auto"/>
          <w:kern w:val="0"/>
          <w:sz w:val="32"/>
          <w:szCs w:val="32"/>
        </w:rPr>
        <w:t>（九）各类楼堂馆所装修、装饰、雕塑等文化设施建设</w:t>
      </w:r>
    </w:p>
    <w:p w14:paraId="04B14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各类景观、雕塑等文化设施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建设</w:t>
      </w: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必须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符合社会主义核心价值观相关要求，内容健康、积极向上；必须</w:t>
      </w: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统一规划，既要美观，又要突出文化品位。学校景观、道路、楼宇等公共场所景观标识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及公共文化场所设施建设</w:t>
      </w: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由学校统一规划实施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。教学楼、体育场馆、图书馆、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实训楼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、宿舍楼、食堂等楼宇场所各类装修装饰等本着“谁管理、谁负责，谁使用、谁负责”的原则进行管理，相关责任单位需将设计方案报党委宣传部审批备案后方可施工。</w:t>
      </w: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各部门、各单位内文化标识、装饰等必须遵循学校识别系统规范，与周围环境和谐统一，设计方案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及内</w:t>
      </w:r>
      <w:r>
        <w:rPr>
          <w:rFonts w:ascii="仿宋_GB2312" w:hAnsi="Times New Roman" w:eastAsia="仿宋_GB2312" w:cs="Times New Roman"/>
          <w:color w:val="auto"/>
          <w:kern w:val="0"/>
          <w:sz w:val="32"/>
          <w:szCs w:val="32"/>
        </w:rPr>
        <w:t>容由本单位负责审核及实施，定期开展内容审查。</w:t>
      </w:r>
    </w:p>
    <w:p w14:paraId="17F5543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相关要求</w:t>
      </w:r>
    </w:p>
    <w:p w14:paraId="5D3B6F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各部门、各单位要牢固树立“四个意识”，严格落实意识形态工作责任制，切实履行职责，规范程序,严格把关，进一步加强校园文化阵地的建设与管理，相关工作情况将纳入年终意识形态工作责任制考核。对因违反程序规定、疏于监督管理造成不良影响和重大问题的，按照《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汝州职业技术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  <w:t>学院意识形态工作责任制实施细则》等有关规定追究相关单位和人员责任。</w:t>
      </w:r>
    </w:p>
    <w:p w14:paraId="27439D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6AB2D6"/>
    <w:multiLevelType w:val="singleLevel"/>
    <w:tmpl w:val="976AB2D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YwYTU1ZWJmZGI5ZTc5N2MxMzk5MmQyMmFlNTYifQ=="/>
  </w:docVars>
  <w:rsids>
    <w:rsidRoot w:val="276E27A2"/>
    <w:rsid w:val="276E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2026-07-06T04:15:00Z</dcterms:created>
  <dc:creator></dc:creator>
  <cp:lastModifiedBy></cp:lastModifiedBy>
  <dcterms:modified xsi:type="dcterms:W3CDTF">2026-07-06T04:17:32Z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E48EA584507645CF9DFD5A69C43FCDE9_11</vt:lpwstr>
  </property>
</Properties>
</file>